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:rsidTr="004020F2">
        <w:tc>
          <w:tcPr>
            <w:tcW w:w="21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Payment</w:t>
            </w:r>
            <w:r w:rsidR="00494D8C">
              <w:rPr>
                <w:b/>
                <w:sz w:val="20"/>
                <w:szCs w:val="20"/>
              </w:rPr>
              <w:t xml:space="preserve"> as a contribution to</w:t>
            </w:r>
            <w:r w:rsidRPr="001943AE">
              <w:rPr>
                <w:b/>
                <w:sz w:val="20"/>
                <w:szCs w:val="20"/>
              </w:rPr>
              <w:t xml:space="preserve"> costs </w:t>
            </w:r>
            <w:r w:rsidR="00494D8C">
              <w:rPr>
                <w:b/>
                <w:sz w:val="20"/>
                <w:szCs w:val="20"/>
              </w:rPr>
              <w:t xml:space="preserve">and expenses </w:t>
            </w: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:rsidR="004020F2" w:rsidRPr="001943AE" w:rsidRDefault="004020F2" w:rsidP="00F54BC9">
            <w:pPr>
              <w:pStyle w:val="Heading1"/>
            </w:pPr>
            <w:r w:rsidRPr="001943AE">
              <w:t>Other</w:t>
            </w:r>
          </w:p>
        </w:tc>
        <w:tc>
          <w:tcPr>
            <w:tcW w:w="1469" w:type="dxa"/>
          </w:tcPr>
          <w:p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1943AE" w:rsidRDefault="00636C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Stephen Davies</w:t>
            </w:r>
          </w:p>
        </w:tc>
        <w:tc>
          <w:tcPr>
            <w:tcW w:w="1485" w:type="dxa"/>
          </w:tcPr>
          <w:p w:rsidR="004020F2" w:rsidRPr="001943AE" w:rsidRDefault="004020F2" w:rsidP="00636C52">
            <w:pPr>
              <w:rPr>
                <w:i/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1943AE" w:rsidRDefault="00636C52" w:rsidP="00AF6A36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£500.00</w:t>
            </w:r>
          </w:p>
        </w:tc>
        <w:tc>
          <w:tcPr>
            <w:tcW w:w="1483" w:type="dxa"/>
          </w:tcPr>
          <w:p w:rsidR="004020F2" w:rsidRPr="001943AE" w:rsidRDefault="004020F2" w:rsidP="00AF6A36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1943AE" w:rsidRDefault="004020F2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1943AE" w:rsidRDefault="004020F2" w:rsidP="00F54BC9">
            <w:pPr>
              <w:pStyle w:val="Heading1"/>
              <w:rPr>
                <w:i/>
              </w:rPr>
            </w:pPr>
          </w:p>
        </w:tc>
        <w:tc>
          <w:tcPr>
            <w:tcW w:w="1469" w:type="dxa"/>
          </w:tcPr>
          <w:p w:rsidR="004020F2" w:rsidRPr="001943AE" w:rsidRDefault="00636C5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£500.00</w:t>
            </w: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="004020F2" w:rsidRPr="006530A0" w:rsidRDefault="004020F2" w:rsidP="00F54BC9">
            <w:pPr>
              <w:pStyle w:val="Heading1"/>
            </w:pPr>
          </w:p>
        </w:tc>
        <w:tc>
          <w:tcPr>
            <w:tcW w:w="1469" w:type="dxa"/>
          </w:tcPr>
          <w:p w:rsidR="004020F2" w:rsidRPr="006530A0" w:rsidRDefault="004020F2" w:rsidP="002157C9">
            <w:pPr>
              <w:jc w:val="center"/>
              <w:rPr>
                <w:sz w:val="20"/>
                <w:szCs w:val="20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F54BC9">
            <w:pPr>
              <w:pStyle w:val="Heading1"/>
              <w:rPr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F54BC9">
            <w:pPr>
              <w:pStyle w:val="Heading1"/>
              <w:rPr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  <w:tr w:rsidR="004020F2" w:rsidTr="004020F2">
        <w:tc>
          <w:tcPr>
            <w:tcW w:w="21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lastRenderedPageBreak/>
              <w:t>Total</w:t>
            </w:r>
          </w:p>
        </w:tc>
        <w:tc>
          <w:tcPr>
            <w:tcW w:w="1485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AF6A36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:rsidR="004020F2" w:rsidRDefault="004020F2" w:rsidP="00F54BC9">
            <w:pPr>
              <w:pStyle w:val="Heading1"/>
              <w:rPr>
                <w:u w:val="single"/>
              </w:rPr>
            </w:pPr>
          </w:p>
        </w:tc>
        <w:tc>
          <w:tcPr>
            <w:tcW w:w="1469" w:type="dxa"/>
          </w:tcPr>
          <w:p w:rsidR="004020F2" w:rsidRDefault="004020F2" w:rsidP="002157C9">
            <w:pPr>
              <w:jc w:val="center"/>
              <w:rPr>
                <w:b/>
                <w:u w:val="single"/>
              </w:rPr>
            </w:pPr>
          </w:p>
        </w:tc>
      </w:tr>
    </w:tbl>
    <w:p w:rsidR="00147558" w:rsidRPr="006235E9" w:rsidRDefault="00147558" w:rsidP="006235E9">
      <w:pPr>
        <w:pStyle w:val="Heading1"/>
        <w:rPr>
          <w:rStyle w:val="Emphasis"/>
        </w:rPr>
      </w:pPr>
    </w:p>
    <w:sectPr w:rsidR="00147558" w:rsidRPr="006235E9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9BC" w:rsidRDefault="009B79BC" w:rsidP="00147558">
      <w:r>
        <w:separator/>
      </w:r>
    </w:p>
  </w:endnote>
  <w:endnote w:type="continuationSeparator" w:id="0">
    <w:p w:rsidR="009B79BC" w:rsidRDefault="009B79BC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9BC" w:rsidRDefault="009B79BC" w:rsidP="00147558">
      <w:r>
        <w:separator/>
      </w:r>
    </w:p>
  </w:footnote>
  <w:footnote w:type="continuationSeparator" w:id="0">
    <w:p w:rsidR="009B79BC" w:rsidRDefault="009B79BC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558" w:rsidRPr="00147558" w:rsidRDefault="00BD46AF" w:rsidP="00F54BC9">
    <w:pPr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r w:rsidR="00F54BC9">
      <w:rPr>
        <w:b/>
        <w:i/>
        <w:highlight w:val="yellow"/>
        <w:u w:val="single"/>
      </w:rPr>
      <w:t xml:space="preserve">Tawe </w:t>
    </w:r>
    <w:proofErr w:type="spellStart"/>
    <w:r w:rsidR="00F54BC9">
      <w:rPr>
        <w:b/>
        <w:i/>
        <w:highlight w:val="yellow"/>
        <w:u w:val="single"/>
      </w:rPr>
      <w:t>Uchaf</w:t>
    </w:r>
    <w:proofErr w:type="spellEnd"/>
    <w:r w:rsidR="00F54BC9">
      <w:rPr>
        <w:b/>
        <w:u w:val="single"/>
      </w:rPr>
      <w:t xml:space="preserve"> Community</w:t>
    </w:r>
    <w:r w:rsidR="005F3D09">
      <w:rPr>
        <w:b/>
        <w:u w:val="single"/>
      </w:rPr>
      <w:t xml:space="preserve"> </w:t>
    </w:r>
    <w:r w:rsidR="00F54BC9">
      <w:rPr>
        <w:b/>
        <w:u w:val="single"/>
      </w:rPr>
      <w:t>Council for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58"/>
    <w:rsid w:val="00001D6C"/>
    <w:rsid w:val="00074E6C"/>
    <w:rsid w:val="000769DF"/>
    <w:rsid w:val="000A79B8"/>
    <w:rsid w:val="000B3BD4"/>
    <w:rsid w:val="00147558"/>
    <w:rsid w:val="00150D95"/>
    <w:rsid w:val="001943AE"/>
    <w:rsid w:val="001E034E"/>
    <w:rsid w:val="0022090A"/>
    <w:rsid w:val="00281CAB"/>
    <w:rsid w:val="00327D04"/>
    <w:rsid w:val="003857A3"/>
    <w:rsid w:val="004020F2"/>
    <w:rsid w:val="004766E9"/>
    <w:rsid w:val="00491388"/>
    <w:rsid w:val="00494D8C"/>
    <w:rsid w:val="004D4D7E"/>
    <w:rsid w:val="0051049D"/>
    <w:rsid w:val="005A50A9"/>
    <w:rsid w:val="005C06BA"/>
    <w:rsid w:val="005F3D09"/>
    <w:rsid w:val="00614F1C"/>
    <w:rsid w:val="006235E9"/>
    <w:rsid w:val="00636C52"/>
    <w:rsid w:val="006530A0"/>
    <w:rsid w:val="006F6070"/>
    <w:rsid w:val="007509FB"/>
    <w:rsid w:val="00776B10"/>
    <w:rsid w:val="00866405"/>
    <w:rsid w:val="008B5AF8"/>
    <w:rsid w:val="008C28FD"/>
    <w:rsid w:val="0091329A"/>
    <w:rsid w:val="009460D2"/>
    <w:rsid w:val="00973139"/>
    <w:rsid w:val="009B79BC"/>
    <w:rsid w:val="009C6A65"/>
    <w:rsid w:val="009F30B2"/>
    <w:rsid w:val="00A010DE"/>
    <w:rsid w:val="00A12E69"/>
    <w:rsid w:val="00A360BA"/>
    <w:rsid w:val="00A67FEE"/>
    <w:rsid w:val="00AF5530"/>
    <w:rsid w:val="00B02715"/>
    <w:rsid w:val="00B725E4"/>
    <w:rsid w:val="00B96959"/>
    <w:rsid w:val="00BD46AF"/>
    <w:rsid w:val="00C046A8"/>
    <w:rsid w:val="00C43B2F"/>
    <w:rsid w:val="00D5770E"/>
    <w:rsid w:val="00D57B6F"/>
    <w:rsid w:val="00DF5B4D"/>
    <w:rsid w:val="00E4461D"/>
    <w:rsid w:val="00E603F9"/>
    <w:rsid w:val="00F266CB"/>
    <w:rsid w:val="00F5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F3AF0EF-0D24-46F7-83A4-4C47124B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B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54BC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qFormat/>
    <w:rsid w:val="006235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Community and Town Councils - Published Allowances - English</value>
    </field>
    <field name="Objective-Description">
      <value order="0"/>
    </field>
    <field name="Objective-CreationStamp">
      <value order="0">2018-07-30T11:14:51Z</value>
    </field>
    <field name="Objective-IsApproved">
      <value order="0">false</value>
    </field>
    <field name="Objective-IsPublished">
      <value order="0">true</value>
    </field>
    <field name="Objective-DatePublished">
      <value order="0">2020-06-30T14:31:32Z</value>
    </field>
    <field name="Objective-ModificationStamp">
      <value order="0">2020-06-30T14:31:32Z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vA60841275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2018-07-30T22:59:59Z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E29AEB7-9D39-4FD6-9921-4CD51A2A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Elwyn Gwilym</cp:lastModifiedBy>
  <cp:revision>6</cp:revision>
  <dcterms:created xsi:type="dcterms:W3CDTF">2021-05-18T08:26:00Z</dcterms:created>
  <dcterms:modified xsi:type="dcterms:W3CDTF">2021-05-18T08:32:00Z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Community and Town Councils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2018-07-30T11:15:05Z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2020-06-30T14:31:32Z</vt:filetime>
  </property>
  <property fmtid="{D5CDD505-2E9C-101B-9397-08002B2CF9AE}" pid="10" name="Objective-ModificationStamp">
    <vt:filetime>2020-06-30T14:31:32Z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vA60841275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2018-07-29T23:00:00Z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