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4AC284D3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="008B419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E03B1C" w:rsidRPr="001943AE" w:rsidRDefault="00E03B1C" w:rsidP="00142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8D4C61" w14:textId="77777777" w:rsidTr="00E03B1C">
        <w:tc>
          <w:tcPr>
            <w:tcW w:w="2003" w:type="dxa"/>
          </w:tcPr>
          <w:p w14:paraId="1EA3B3D0" w14:textId="31E336B2" w:rsidR="00E03B1C" w:rsidRPr="006C0F08" w:rsidRDefault="006C0F08" w:rsidP="008B4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Stephen Davies</w:t>
            </w:r>
          </w:p>
        </w:tc>
        <w:tc>
          <w:tcPr>
            <w:tcW w:w="1441" w:type="dxa"/>
          </w:tcPr>
          <w:p w14:paraId="0935F075" w14:textId="74B61A89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3" w:type="dxa"/>
          </w:tcPr>
          <w:p w14:paraId="75566D53" w14:textId="170E88D5" w:rsidR="00E03B1C" w:rsidRPr="006C0F08" w:rsidRDefault="006C0F0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</w:t>
            </w:r>
          </w:p>
        </w:tc>
        <w:tc>
          <w:tcPr>
            <w:tcW w:w="1766" w:type="dxa"/>
          </w:tcPr>
          <w:p w14:paraId="0FAD0B8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015FA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8132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39869" w14:textId="3E465EBA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A5A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8DA51" w14:textId="007C5E2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8C4705" w14:textId="7F8CC643" w:rsidR="00E03B1C" w:rsidRPr="006C0F08" w:rsidRDefault="006C0F08" w:rsidP="0047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£500.00</w:t>
            </w: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762983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75F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0CC7FAD1" w:rsidR="00E03B1C" w:rsidRPr="006530A0" w:rsidRDefault="006C0F08" w:rsidP="00142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Monique Craine</w:t>
            </w:r>
          </w:p>
        </w:tc>
        <w:tc>
          <w:tcPr>
            <w:tcW w:w="1441" w:type="dxa"/>
          </w:tcPr>
          <w:p w14:paraId="034A3F37" w14:textId="17D33825" w:rsidR="00E03B1C" w:rsidRPr="006530A0" w:rsidRDefault="006C0F0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  <w:tc>
          <w:tcPr>
            <w:tcW w:w="1583" w:type="dxa"/>
          </w:tcPr>
          <w:p w14:paraId="5267E2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0D0FF147" w:rsidR="00E03B1C" w:rsidRPr="006530A0" w:rsidRDefault="006C0F0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£156.00</w:t>
            </w: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11348A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D858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5CA50E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09CAE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D6925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990E4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62C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3C6EDE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A1A2E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C94F80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A1D12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76A43824" w:rsidR="00E03B1C" w:rsidRDefault="006C0F08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£656.00</w:t>
            </w:r>
          </w:p>
        </w:tc>
      </w:tr>
    </w:tbl>
    <w:p w14:paraId="03EF23AD" w14:textId="77777777" w:rsidR="00000000" w:rsidRDefault="00000000"/>
    <w:sectPr w:rsidR="001D754E" w:rsidSect="005F07C1">
      <w:headerReference w:type="default" r:id="rId10"/>
      <w:footerReference w:type="defaul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8FEE" w14:textId="77777777" w:rsidR="0037747A" w:rsidRDefault="0037747A" w:rsidP="007E64DC">
      <w:r>
        <w:separator/>
      </w:r>
    </w:p>
  </w:endnote>
  <w:endnote w:type="continuationSeparator" w:id="0">
    <w:p w14:paraId="4DD59FF5" w14:textId="77777777" w:rsidR="0037747A" w:rsidRDefault="0037747A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92D3" w14:textId="77777777" w:rsidR="00000000" w:rsidRDefault="007C698C">
    <w:pPr>
      <w:pStyle w:val="Footer"/>
    </w:pPr>
    <w:proofErr w:type="gramStart"/>
    <w:r>
      <w:t>Section 151 of the Local Government Measure 2011,</w:t>
    </w:r>
    <w:proofErr w:type="gramEnd"/>
    <w:r>
      <w:t xml:space="preserve">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F62B6" w14:textId="77777777" w:rsidR="0037747A" w:rsidRDefault="0037747A" w:rsidP="007E64DC">
      <w:r>
        <w:separator/>
      </w:r>
    </w:p>
  </w:footnote>
  <w:footnote w:type="continuationSeparator" w:id="0">
    <w:p w14:paraId="0FD236F4" w14:textId="77777777" w:rsidR="0037747A" w:rsidRDefault="0037747A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6D22" w14:textId="06130967" w:rsidR="00000000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 xml:space="preserve">Payments to Members of </w:t>
    </w:r>
    <w:r w:rsidR="008B4190">
      <w:rPr>
        <w:b/>
        <w:i/>
        <w:highlight w:val="yellow"/>
        <w:u w:val="single"/>
      </w:rPr>
      <w:t xml:space="preserve">TAWE UCHAF COMMUNITY COUNCIL </w:t>
    </w:r>
    <w:r>
      <w:rPr>
        <w:b/>
        <w:u w:val="single"/>
      </w:rPr>
      <w:t xml:space="preserve">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625850">
      <w:rPr>
        <w:b/>
        <w:u w:val="single"/>
      </w:rPr>
      <w:t>4</w:t>
    </w:r>
    <w:r w:rsidR="007E64DC">
      <w:rPr>
        <w:b/>
        <w:u w:val="single"/>
      </w:rPr>
      <w:t xml:space="preserve"> to March 202</w:t>
    </w:r>
    <w:r w:rsidR="00625850">
      <w:rPr>
        <w:b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053639"/>
    <w:rsid w:val="000F6638"/>
    <w:rsid w:val="00142945"/>
    <w:rsid w:val="001B1E32"/>
    <w:rsid w:val="002D0DB2"/>
    <w:rsid w:val="00301647"/>
    <w:rsid w:val="0037747A"/>
    <w:rsid w:val="004761EC"/>
    <w:rsid w:val="004B09DD"/>
    <w:rsid w:val="005F07C1"/>
    <w:rsid w:val="00625850"/>
    <w:rsid w:val="006575C8"/>
    <w:rsid w:val="006C0F08"/>
    <w:rsid w:val="007610C0"/>
    <w:rsid w:val="00770324"/>
    <w:rsid w:val="00795D0F"/>
    <w:rsid w:val="007C698C"/>
    <w:rsid w:val="007E64DC"/>
    <w:rsid w:val="008B4190"/>
    <w:rsid w:val="00942A01"/>
    <w:rsid w:val="00956AE6"/>
    <w:rsid w:val="00A55188"/>
    <w:rsid w:val="00A959BE"/>
    <w:rsid w:val="00BC006B"/>
    <w:rsid w:val="00CD51D7"/>
    <w:rsid w:val="00D206D7"/>
    <w:rsid w:val="00DD2D22"/>
    <w:rsid w:val="00DD44DC"/>
    <w:rsid w:val="00E03B1C"/>
    <w:rsid w:val="00E04FFF"/>
    <w:rsid w:val="00F3066E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26231E6-8123-42D7-8F14-015426704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6BB80-0BD7-428E-960E-FCAEE852E456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customXml/itemProps4.xml><?xml version="1.0" encoding="utf-8"?>
<ds:datastoreItem xmlns:ds="http://schemas.openxmlformats.org/officeDocument/2006/customXml" ds:itemID="{FAE7BEB9-72F3-4B55-B988-C78C069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Elwyn Gwilym</cp:lastModifiedBy>
  <cp:revision>3</cp:revision>
  <cp:lastPrinted>2025-04-07T07:47:00Z</cp:lastPrinted>
  <dcterms:created xsi:type="dcterms:W3CDTF">2025-04-07T07:53:00Z</dcterms:created>
  <dcterms:modified xsi:type="dcterms:W3CDTF">2025-04-07T07:54:00Z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0x01010086C598ADB51A8B47809EA1C10382B782</vt:lpwstr>
  </property>
</Properties>
</file>